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9A" w:rsidRDefault="00D57CE9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  <w:r w:rsidRPr="00A022D2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06C07AC" wp14:editId="4B6F06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00475" cy="800100"/>
            <wp:effectExtent l="0" t="0" r="9525" b="0"/>
            <wp:wrapTight wrapText="bothSides">
              <wp:wrapPolygon edited="0">
                <wp:start x="1516" y="0"/>
                <wp:lineTo x="541" y="2057"/>
                <wp:lineTo x="0" y="5143"/>
                <wp:lineTo x="0" y="18000"/>
                <wp:lineTo x="108" y="21086"/>
                <wp:lineTo x="1408" y="21086"/>
                <wp:lineTo x="2382" y="21086"/>
                <wp:lineTo x="19489" y="21086"/>
                <wp:lineTo x="19814" y="16971"/>
                <wp:lineTo x="21546" y="14914"/>
                <wp:lineTo x="21546" y="9771"/>
                <wp:lineTo x="10286" y="8229"/>
                <wp:lineTo x="10502" y="3086"/>
                <wp:lineTo x="9203" y="1543"/>
                <wp:lineTo x="2490" y="0"/>
                <wp:lineTo x="151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7B6">
        <w:rPr>
          <w:rFonts w:cs="Arial"/>
          <w:b/>
          <w:caps/>
          <w:sz w:val="24"/>
          <w:szCs w:val="28"/>
        </w:rPr>
        <w:t xml:space="preserve">             </w:t>
      </w: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2A149A" w:rsidRDefault="00B957B6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 </w:t>
      </w: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2A149A" w:rsidRDefault="002A149A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080058" w:rsidRDefault="00080058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080058" w:rsidRDefault="00080058" w:rsidP="00B957B6">
      <w:pPr>
        <w:spacing w:after="0"/>
        <w:jc w:val="center"/>
        <w:rPr>
          <w:rFonts w:cs="Arial"/>
          <w:b/>
          <w:caps/>
          <w:sz w:val="24"/>
          <w:szCs w:val="28"/>
        </w:rPr>
      </w:pPr>
    </w:p>
    <w:p w:rsidR="00B957B6" w:rsidRDefault="00B957B6" w:rsidP="00D5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</w:t>
      </w:r>
      <w:r w:rsidRPr="00B957B6">
        <w:rPr>
          <w:rFonts w:cs="Arial"/>
          <w:b/>
          <w:caps/>
          <w:sz w:val="24"/>
          <w:szCs w:val="28"/>
        </w:rPr>
        <w:t xml:space="preserve">TABLEAU D’EVALUATION </w:t>
      </w:r>
      <w:r w:rsidR="0026630F">
        <w:rPr>
          <w:rFonts w:cs="Arial"/>
          <w:b/>
          <w:caps/>
          <w:sz w:val="24"/>
          <w:szCs w:val="28"/>
        </w:rPr>
        <w:t xml:space="preserve">DE LA MISE EN œuvre </w:t>
      </w:r>
      <w:r w:rsidRPr="00B957B6">
        <w:rPr>
          <w:rFonts w:cs="Arial"/>
          <w:b/>
          <w:caps/>
          <w:sz w:val="24"/>
          <w:szCs w:val="28"/>
        </w:rPr>
        <w:t xml:space="preserve">DES RECOMMANDATIONS de lA </w:t>
      </w:r>
      <w:r w:rsidR="00180AB9">
        <w:rPr>
          <w:rFonts w:cs="Arial"/>
          <w:b/>
          <w:sz w:val="24"/>
          <w:szCs w:val="28"/>
        </w:rPr>
        <w:t>10</w:t>
      </w:r>
      <w:r w:rsidR="00180AB9" w:rsidRPr="00180AB9">
        <w:rPr>
          <w:rFonts w:cs="Arial"/>
          <w:b/>
          <w:sz w:val="24"/>
          <w:szCs w:val="28"/>
          <w:vertAlign w:val="superscript"/>
        </w:rPr>
        <w:t>ème</w:t>
      </w:r>
      <w:r w:rsidR="00180AB9">
        <w:rPr>
          <w:rFonts w:cs="Arial"/>
          <w:b/>
          <w:sz w:val="24"/>
          <w:szCs w:val="28"/>
        </w:rPr>
        <w:t xml:space="preserve"> </w:t>
      </w:r>
      <w:r w:rsidR="00D57CE9" w:rsidRPr="00B957B6">
        <w:rPr>
          <w:rFonts w:cs="Arial"/>
          <w:b/>
          <w:sz w:val="24"/>
          <w:szCs w:val="28"/>
        </w:rPr>
        <w:t xml:space="preserve"> </w:t>
      </w:r>
      <w:r w:rsidRPr="00B957B6">
        <w:rPr>
          <w:rFonts w:cs="Arial"/>
          <w:b/>
          <w:caps/>
          <w:sz w:val="24"/>
          <w:szCs w:val="28"/>
        </w:rPr>
        <w:t>REUNION</w:t>
      </w:r>
    </w:p>
    <w:p w:rsidR="00B957B6" w:rsidRDefault="00B957B6" w:rsidP="00D5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             </w:t>
      </w:r>
      <w:r w:rsidR="000F6B1B">
        <w:rPr>
          <w:rFonts w:cs="Arial"/>
          <w:b/>
          <w:caps/>
          <w:sz w:val="24"/>
          <w:szCs w:val="28"/>
        </w:rPr>
        <w:t xml:space="preserve">      </w:t>
      </w:r>
      <w:r>
        <w:rPr>
          <w:rFonts w:cs="Arial"/>
          <w:b/>
          <w:caps/>
          <w:sz w:val="24"/>
          <w:szCs w:val="28"/>
        </w:rPr>
        <w:t xml:space="preserve">    </w:t>
      </w:r>
      <w:r w:rsidRPr="00B957B6">
        <w:rPr>
          <w:rFonts w:cs="Arial"/>
          <w:b/>
          <w:caps/>
          <w:sz w:val="24"/>
          <w:szCs w:val="28"/>
        </w:rPr>
        <w:t>DES POINTS DE CONTACT POUR LE RENFORCEMENT DES CAPACITES DES ADMINISTRATIONS</w:t>
      </w:r>
    </w:p>
    <w:p w:rsidR="00B957B6" w:rsidRDefault="00B957B6" w:rsidP="00D5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      </w:t>
      </w:r>
      <w:r w:rsidR="000F6B1B">
        <w:rPr>
          <w:rFonts w:cs="Arial"/>
          <w:b/>
          <w:caps/>
          <w:sz w:val="24"/>
          <w:szCs w:val="28"/>
        </w:rPr>
        <w:t xml:space="preserve">      </w:t>
      </w:r>
      <w:r>
        <w:rPr>
          <w:rFonts w:cs="Arial"/>
          <w:b/>
          <w:caps/>
          <w:sz w:val="24"/>
          <w:szCs w:val="28"/>
        </w:rPr>
        <w:t xml:space="preserve">    </w:t>
      </w:r>
      <w:r w:rsidRPr="00B957B6">
        <w:rPr>
          <w:rFonts w:cs="Arial"/>
          <w:b/>
          <w:caps/>
          <w:sz w:val="24"/>
          <w:szCs w:val="28"/>
        </w:rPr>
        <w:t>DES DOUANES DE LA REGION DE l’organisation mondiale des douanes (omd)</w:t>
      </w:r>
    </w:p>
    <w:p w:rsidR="00AE0B29" w:rsidRDefault="000F6B1B" w:rsidP="00D5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        </w:t>
      </w:r>
      <w:r w:rsidR="00B957B6" w:rsidRPr="00B957B6">
        <w:rPr>
          <w:rFonts w:cs="Arial"/>
          <w:b/>
          <w:caps/>
          <w:sz w:val="24"/>
          <w:szCs w:val="28"/>
        </w:rPr>
        <w:t>DE L’AFRIQUE DE L’OUEST ET DU CENTRE (aoc)</w:t>
      </w:r>
      <w:r w:rsidR="00AE0B29" w:rsidRPr="00AE0B29">
        <w:rPr>
          <w:rFonts w:cs="Arial"/>
          <w:b/>
          <w:caps/>
          <w:sz w:val="24"/>
          <w:szCs w:val="28"/>
        </w:rPr>
        <w:t xml:space="preserve"> </w:t>
      </w:r>
    </w:p>
    <w:p w:rsidR="00B957B6" w:rsidRPr="00B957B6" w:rsidRDefault="00AE0B29" w:rsidP="00D5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>KINSHASA</w:t>
      </w:r>
      <w:r w:rsidRPr="00B957B6">
        <w:rPr>
          <w:rFonts w:cs="Arial"/>
          <w:b/>
          <w:caps/>
          <w:sz w:val="24"/>
          <w:szCs w:val="28"/>
        </w:rPr>
        <w:t xml:space="preserve">, </w:t>
      </w:r>
      <w:r>
        <w:rPr>
          <w:rFonts w:cs="Arial"/>
          <w:b/>
          <w:caps/>
          <w:sz w:val="24"/>
          <w:szCs w:val="28"/>
        </w:rPr>
        <w:t>le 26</w:t>
      </w:r>
      <w:r w:rsidRPr="00B957B6">
        <w:rPr>
          <w:rFonts w:cs="Arial"/>
          <w:b/>
          <w:caps/>
          <w:sz w:val="24"/>
          <w:szCs w:val="28"/>
        </w:rPr>
        <w:t xml:space="preserve"> </w:t>
      </w:r>
      <w:r>
        <w:rPr>
          <w:rFonts w:cs="Arial"/>
          <w:b/>
          <w:caps/>
          <w:sz w:val="24"/>
          <w:szCs w:val="28"/>
        </w:rPr>
        <w:t>septembre 2019</w:t>
      </w:r>
      <w:bookmarkStart w:id="0" w:name="_GoBack"/>
      <w:bookmarkEnd w:id="0"/>
    </w:p>
    <w:p w:rsidR="00B957B6" w:rsidRDefault="000F6B1B" w:rsidP="00B957B6">
      <w:pPr>
        <w:jc w:val="center"/>
        <w:rPr>
          <w:rFonts w:cs="Arial"/>
          <w:b/>
          <w:caps/>
          <w:sz w:val="24"/>
          <w:szCs w:val="28"/>
        </w:rPr>
      </w:pPr>
      <w:r>
        <w:rPr>
          <w:rFonts w:cs="Arial"/>
          <w:b/>
          <w:caps/>
          <w:sz w:val="24"/>
          <w:szCs w:val="28"/>
        </w:rPr>
        <w:t xml:space="preserve">   </w:t>
      </w:r>
      <w:r w:rsidR="00B957B6">
        <w:rPr>
          <w:rFonts w:cs="Arial"/>
          <w:b/>
          <w:caps/>
          <w:sz w:val="24"/>
          <w:szCs w:val="28"/>
        </w:rPr>
        <w:t xml:space="preserve"> </w:t>
      </w:r>
      <w:r>
        <w:rPr>
          <w:rFonts w:cs="Arial"/>
          <w:b/>
          <w:caps/>
          <w:sz w:val="24"/>
          <w:szCs w:val="28"/>
        </w:rPr>
        <w:t xml:space="preserve">       </w:t>
      </w:r>
      <w:r w:rsidR="00B957B6">
        <w:rPr>
          <w:rFonts w:cs="Arial"/>
          <w:b/>
          <w:caps/>
          <w:sz w:val="24"/>
          <w:szCs w:val="28"/>
        </w:rPr>
        <w:t xml:space="preserve">  </w:t>
      </w:r>
    </w:p>
    <w:p w:rsidR="00C04496" w:rsidRDefault="00D57CE9" w:rsidP="00DD65BB">
      <w:pPr>
        <w:jc w:val="center"/>
        <w:rPr>
          <w:color w:val="FF0000"/>
        </w:rPr>
      </w:pPr>
      <w:r>
        <w:rPr>
          <w:color w:val="FF0000"/>
        </w:rPr>
        <w:t>Point 3</w:t>
      </w:r>
      <w:r w:rsidR="007D5F9E">
        <w:rPr>
          <w:color w:val="FF0000"/>
        </w:rPr>
        <w:t xml:space="preserve"> de l’ordre du jour </w:t>
      </w:r>
      <w:r w:rsidR="007A62EA" w:rsidRPr="007A62EA">
        <w:rPr>
          <w:color w:val="FF0000"/>
        </w:rPr>
        <w:t xml:space="preserve"> </w:t>
      </w:r>
      <w:r w:rsidR="007D5F9E">
        <w:rPr>
          <w:color w:val="FF0000"/>
        </w:rPr>
        <w:t>de</w:t>
      </w:r>
      <w:r w:rsidR="007A62EA" w:rsidRPr="007A62EA">
        <w:rPr>
          <w:color w:val="FF0000"/>
        </w:rPr>
        <w:t xml:space="preserve"> la 1</w:t>
      </w:r>
      <w:r>
        <w:rPr>
          <w:color w:val="FF0000"/>
        </w:rPr>
        <w:t>1</w:t>
      </w:r>
      <w:r w:rsidR="007A62EA" w:rsidRPr="007A62EA">
        <w:rPr>
          <w:color w:val="FF0000"/>
          <w:vertAlign w:val="superscript"/>
        </w:rPr>
        <w:t>ème</w:t>
      </w:r>
      <w:r w:rsidR="00DD65BB">
        <w:rPr>
          <w:color w:val="FF0000"/>
        </w:rPr>
        <w:t xml:space="preserve"> réunion des Points de Contact</w:t>
      </w: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Default="00DD65BB" w:rsidP="00DD65BB">
      <w:pPr>
        <w:jc w:val="center"/>
        <w:rPr>
          <w:color w:val="FF0000"/>
        </w:rPr>
      </w:pPr>
    </w:p>
    <w:p w:rsidR="00DD65BB" w:rsidRPr="00DD65BB" w:rsidRDefault="00DD65BB" w:rsidP="00DD65BB">
      <w:pPr>
        <w:jc w:val="center"/>
        <w:rPr>
          <w:color w:val="FF0000"/>
        </w:rPr>
      </w:pPr>
    </w:p>
    <w:tbl>
      <w:tblPr>
        <w:tblStyle w:val="Grilledutableau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8"/>
        <w:gridCol w:w="3827"/>
      </w:tblGrid>
      <w:tr w:rsidR="00DD65BB" w:rsidTr="00781842">
        <w:trPr>
          <w:trHeight w:val="979"/>
        </w:trPr>
        <w:tc>
          <w:tcPr>
            <w:tcW w:w="567" w:type="dxa"/>
            <w:vMerge w:val="restart"/>
            <w:shd w:val="clear" w:color="auto" w:fill="D0CECE" w:themeFill="background2" w:themeFillShade="E6"/>
          </w:tcPr>
          <w:p w:rsidR="00DD65BB" w:rsidRPr="004D11E7" w:rsidRDefault="00DD65BB" w:rsidP="004D11E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D11E7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DD65BB" w:rsidRDefault="00DD65BB" w:rsidP="001A5CDB">
            <w:pPr>
              <w:spacing w:after="0"/>
              <w:rPr>
                <w:b/>
                <w:sz w:val="24"/>
                <w:szCs w:val="28"/>
              </w:rPr>
            </w:pPr>
            <w:r w:rsidRPr="001872C7">
              <w:rPr>
                <w:b/>
                <w:sz w:val="24"/>
                <w:szCs w:val="28"/>
              </w:rPr>
              <w:t xml:space="preserve">             RECOMMANDATIONS</w:t>
            </w:r>
          </w:p>
          <w:p w:rsidR="00DD65BB" w:rsidRPr="00DD65BB" w:rsidRDefault="00DD65BB" w:rsidP="00DD65BB">
            <w:pPr>
              <w:rPr>
                <w:sz w:val="24"/>
                <w:szCs w:val="28"/>
              </w:rPr>
            </w:pPr>
          </w:p>
          <w:p w:rsidR="00DD65BB" w:rsidRPr="001872C7" w:rsidRDefault="00DD65BB" w:rsidP="00693BD4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D65BB" w:rsidRDefault="00DD65BB" w:rsidP="001872C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1872C7">
              <w:rPr>
                <w:b/>
                <w:sz w:val="24"/>
                <w:szCs w:val="28"/>
              </w:rPr>
              <w:t xml:space="preserve">LA RECOMMANDATION </w:t>
            </w:r>
          </w:p>
          <w:p w:rsidR="00DD65BB" w:rsidRDefault="00DD65BB" w:rsidP="00C04496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A-T-ELLE ETE MISE EN ŒUVRE ?</w:t>
            </w:r>
          </w:p>
          <w:p w:rsidR="00DD65BB" w:rsidRPr="001872C7" w:rsidRDefault="00DD65BB" w:rsidP="00C04496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Répondre par OUI ou NON </w:t>
            </w:r>
            <w:r w:rsidRPr="001872C7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DD65BB" w:rsidTr="00781842">
        <w:trPr>
          <w:trHeight w:val="815"/>
        </w:trPr>
        <w:tc>
          <w:tcPr>
            <w:tcW w:w="567" w:type="dxa"/>
            <w:vMerge/>
            <w:shd w:val="clear" w:color="auto" w:fill="D0CECE" w:themeFill="background2" w:themeFillShade="E6"/>
          </w:tcPr>
          <w:p w:rsidR="00DD65BB" w:rsidRPr="004D11E7" w:rsidRDefault="00DD65BB" w:rsidP="004D11E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DD65BB" w:rsidRPr="001872C7" w:rsidRDefault="00DD65BB" w:rsidP="001872C7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D65BB" w:rsidRDefault="00DD65BB" w:rsidP="001872C7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Si oui,</w:t>
            </w:r>
          </w:p>
          <w:p w:rsidR="00DD65BB" w:rsidRPr="001872C7" w:rsidRDefault="00DD65BB" w:rsidP="001872C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1872C7">
              <w:rPr>
                <w:b/>
                <w:sz w:val="24"/>
                <w:szCs w:val="28"/>
              </w:rPr>
              <w:t>INITIATIVES CONCRETES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D65BB" w:rsidRDefault="00DD65BB" w:rsidP="001872C7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Si non,</w:t>
            </w:r>
          </w:p>
          <w:p w:rsidR="00DD65BB" w:rsidRPr="001872C7" w:rsidRDefault="00DD65BB" w:rsidP="001872C7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CONTRAINTES / DIFFICULTES </w:t>
            </w:r>
          </w:p>
        </w:tc>
      </w:tr>
      <w:tr w:rsidR="00DD65BB" w:rsidTr="00DD65BB">
        <w:trPr>
          <w:trHeight w:val="550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</w:pPr>
          </w:p>
          <w:p w:rsidR="00DD65BB" w:rsidRPr="00C36F42" w:rsidRDefault="00DD65BB" w:rsidP="00DD65BB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A la </w:t>
            </w:r>
            <w:r w:rsidRPr="00C36F42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Vice-Présidence et au Secrétariat de l’OMD</w:t>
            </w:r>
          </w:p>
          <w:p w:rsidR="00DD65BB" w:rsidRDefault="00DD65BB" w:rsidP="004D11E7">
            <w:pPr>
              <w:spacing w:after="0"/>
            </w:pPr>
          </w:p>
        </w:tc>
      </w:tr>
      <w:tr w:rsidR="00DD65BB" w:rsidTr="00DD65BB">
        <w:trPr>
          <w:trHeight w:val="1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D65BB" w:rsidRPr="00DD65BB" w:rsidRDefault="00DD65BB" w:rsidP="00DD65BB">
            <w:pPr>
              <w:spacing w:after="0"/>
              <w:jc w:val="both"/>
              <w:rPr>
                <w:rFonts w:cs="Arial"/>
                <w:sz w:val="28"/>
                <w:szCs w:val="28"/>
              </w:rPr>
            </w:pPr>
            <w:r w:rsidRPr="00C36F42">
              <w:rPr>
                <w:rFonts w:ascii="Arial" w:eastAsia="Calibri" w:hAnsi="Arial" w:cs="Arial"/>
                <w:color w:val="000000"/>
                <w:sz w:val="24"/>
                <w:szCs w:val="32"/>
              </w:rPr>
              <w:t>Maintenir l’inscription à l’ordre du jour de la prochaine rencontre des directeurs généraux, une séance de sensibilisation sur le leadership et son impact dans le succès de la réforme. 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4D11E7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4D11E7">
            <w:pPr>
              <w:spacing w:after="0"/>
            </w:pPr>
          </w:p>
        </w:tc>
      </w:tr>
      <w:tr w:rsidR="00DD65BB" w:rsidTr="002315EE">
        <w:trPr>
          <w:trHeight w:val="2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D65BB" w:rsidRPr="002315EE" w:rsidRDefault="00CB08EB" w:rsidP="002315EE">
            <w:pPr>
              <w:spacing w:after="0"/>
              <w:jc w:val="both"/>
              <w:rPr>
                <w:rFonts w:cs="Arial"/>
                <w:sz w:val="28"/>
                <w:szCs w:val="28"/>
              </w:rPr>
            </w:pPr>
            <w:r w:rsidRPr="00AA5BB3">
              <w:rPr>
                <w:rFonts w:ascii="Arial" w:eastAsia="Calibri" w:hAnsi="Arial" w:cs="Arial"/>
                <w:color w:val="000000"/>
                <w:sz w:val="24"/>
                <w:szCs w:val="32"/>
              </w:rPr>
              <w:t>Encourager les Administrations membres de la Région à privilégier le partage d’expériences et de bonnes pratiques notamment dans le cadre du Programme Régional de Coaching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5F42EC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5F42EC">
            <w:pPr>
              <w:spacing w:after="0"/>
            </w:pPr>
          </w:p>
        </w:tc>
      </w:tr>
      <w:tr w:rsidR="00DD65BB" w:rsidTr="004D2CBC">
        <w:trPr>
          <w:trHeight w:val="938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5BB" w:rsidRPr="00DD65BB" w:rsidRDefault="00DD65BB" w:rsidP="00DD65BB">
            <w:pPr>
              <w:jc w:val="center"/>
              <w:rPr>
                <w:rFonts w:ascii="Arial" w:eastAsia="Calibri" w:hAnsi="Arial" w:cs="Arial"/>
                <w:b/>
                <w:color w:val="000000"/>
                <w:sz w:val="4"/>
                <w:szCs w:val="32"/>
              </w:rPr>
            </w:pPr>
          </w:p>
          <w:p w:rsidR="00DD65BB" w:rsidRDefault="00DD65BB" w:rsidP="00DD65BB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Au </w:t>
            </w:r>
            <w:r w:rsidRPr="00C20E40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Secrétariat de l’OMD</w:t>
            </w:r>
          </w:p>
        </w:tc>
      </w:tr>
      <w:tr w:rsidR="00943507" w:rsidTr="00D55544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3507" w:rsidRPr="009858F7" w:rsidRDefault="00943507" w:rsidP="0094350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91D73" w:rsidRPr="00F91D73" w:rsidRDefault="00F91D73" w:rsidP="00F91D7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F91D73">
              <w:rPr>
                <w:rFonts w:ascii="Arial" w:eastAsia="Calibri" w:hAnsi="Arial" w:cs="Arial"/>
                <w:color w:val="000000"/>
                <w:sz w:val="24"/>
                <w:szCs w:val="32"/>
              </w:rPr>
              <w:t>Intensifier les initiatives pour rechercher les soutiens en</w:t>
            </w:r>
          </w:p>
          <w:p w:rsidR="00F91D73" w:rsidRPr="00F91D73" w:rsidRDefault="00F91D73" w:rsidP="00F91D7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F91D73">
              <w:rPr>
                <w:rFonts w:ascii="Arial" w:eastAsia="Calibri" w:hAnsi="Arial" w:cs="Arial"/>
                <w:color w:val="000000"/>
                <w:sz w:val="24"/>
                <w:szCs w:val="32"/>
              </w:rPr>
              <w:t>matière de GRH, gestion stratégique et relation avec les</w:t>
            </w:r>
          </w:p>
          <w:p w:rsidR="00943507" w:rsidRPr="004D11E7" w:rsidRDefault="00F91D73" w:rsidP="00F91D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1D73">
              <w:rPr>
                <w:rFonts w:ascii="Arial" w:eastAsia="Calibri" w:hAnsi="Arial" w:cs="Arial"/>
                <w:color w:val="000000"/>
                <w:sz w:val="24"/>
                <w:szCs w:val="32"/>
              </w:rPr>
              <w:t>parties prenantes pour toute la Région AOC; (Nouvelle)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43507" w:rsidRDefault="00943507" w:rsidP="00943507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43507" w:rsidRDefault="00943507" w:rsidP="00943507"/>
        </w:tc>
      </w:tr>
      <w:tr w:rsidR="00DD65BB" w:rsidTr="00D55544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D65BB" w:rsidRPr="004D11E7" w:rsidRDefault="00DD65BB" w:rsidP="00F91D73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20E40">
              <w:rPr>
                <w:rFonts w:ascii="Arial" w:eastAsia="Calibri" w:hAnsi="Arial" w:cs="Arial"/>
                <w:color w:val="000000"/>
                <w:sz w:val="24"/>
                <w:szCs w:val="32"/>
              </w:rPr>
              <w:t>Améliorer la coordination avec le BRRC-AOC, dans le traitement et l’analyse des requêtes de renforcement des capacités émanant des Administrations douanières de la Région AOC. </w:t>
            </w:r>
            <w:r w:rsidR="00F91D73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DD65BB" w:rsidTr="00151FBA">
        <w:trPr>
          <w:trHeight w:val="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DD65BB" w:rsidRPr="00C20E40" w:rsidRDefault="00DD65BB" w:rsidP="00C20E4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C20E40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Aider la région à organiser un atelier régional sur les indicateurs clés de la </w:t>
            </w:r>
            <w:r w:rsidR="00F91D73">
              <w:rPr>
                <w:rFonts w:ascii="Arial" w:eastAsia="Calibri" w:hAnsi="Arial" w:cs="Arial"/>
                <w:color w:val="000000"/>
                <w:sz w:val="24"/>
                <w:szCs w:val="32"/>
              </w:rPr>
              <w:t>performance en 2019.</w:t>
            </w:r>
          </w:p>
          <w:p w:rsidR="00DD65BB" w:rsidRPr="004D11E7" w:rsidRDefault="00DD65BB" w:rsidP="004D11E7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7A6845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7A6845"/>
        </w:tc>
      </w:tr>
      <w:tr w:rsidR="00F91D73" w:rsidTr="00151FBA">
        <w:trPr>
          <w:trHeight w:val="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1D73" w:rsidRPr="009858F7" w:rsidRDefault="00F91D73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F91D73" w:rsidRPr="00F91D73" w:rsidRDefault="00F91D73" w:rsidP="00F91D7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F91D73">
              <w:rPr>
                <w:rFonts w:ascii="Arial" w:eastAsia="Calibri" w:hAnsi="Arial" w:cs="Arial"/>
                <w:color w:val="000000"/>
                <w:sz w:val="24"/>
                <w:szCs w:val="32"/>
              </w:rPr>
              <w:t>4- Etendre la formation sur la sécurité dans la Région AOC ;</w:t>
            </w:r>
          </w:p>
          <w:p w:rsidR="00F91D73" w:rsidRPr="00C20E40" w:rsidRDefault="00F91D73" w:rsidP="00F91D7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(Nouvelle)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91D73" w:rsidRDefault="00F91D73" w:rsidP="007A6845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1D73" w:rsidRDefault="00F91D73" w:rsidP="007A6845"/>
        </w:tc>
      </w:tr>
      <w:tr w:rsidR="00DD65BB" w:rsidTr="001B3AF0">
        <w:trPr>
          <w:trHeight w:val="37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5BB" w:rsidRPr="00DD65BB" w:rsidRDefault="00DD65BB" w:rsidP="00DD65BB">
            <w:pPr>
              <w:jc w:val="center"/>
              <w:rPr>
                <w:rFonts w:ascii="Arial" w:eastAsia="Calibri" w:hAnsi="Arial" w:cs="Arial"/>
                <w:b/>
                <w:color w:val="000000"/>
                <w:sz w:val="2"/>
                <w:szCs w:val="32"/>
              </w:rPr>
            </w:pPr>
          </w:p>
          <w:p w:rsidR="00DD65BB" w:rsidRDefault="00DD65BB" w:rsidP="00DD65BB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Au </w:t>
            </w:r>
            <w:r w:rsidRPr="00BB5973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BRRC-AOC</w:t>
            </w:r>
          </w:p>
        </w:tc>
      </w:tr>
      <w:tr w:rsidR="00DD65BB" w:rsidTr="002315EE">
        <w:trPr>
          <w:trHeight w:val="1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65E47" w:rsidRPr="00265E47" w:rsidRDefault="00265E47" w:rsidP="00265E4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65E47">
              <w:rPr>
                <w:rFonts w:ascii="Arial" w:eastAsia="Calibri" w:hAnsi="Arial" w:cs="Arial"/>
                <w:color w:val="000000"/>
                <w:sz w:val="24"/>
                <w:szCs w:val="32"/>
              </w:rPr>
              <w:t>Elaborer à l'attention des Administrations membres et des</w:t>
            </w:r>
          </w:p>
          <w:p w:rsidR="00265E47" w:rsidRPr="00265E47" w:rsidRDefault="00265E47" w:rsidP="00265E4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65E47">
              <w:rPr>
                <w:rFonts w:ascii="Arial" w:eastAsia="Calibri" w:hAnsi="Arial" w:cs="Arial"/>
                <w:color w:val="000000"/>
                <w:sz w:val="24"/>
                <w:szCs w:val="32"/>
              </w:rPr>
              <w:t>structures régionales des instruments d'évaluation de la</w:t>
            </w:r>
          </w:p>
          <w:p w:rsidR="00265E47" w:rsidRPr="00265E47" w:rsidRDefault="00265E47" w:rsidP="00265E4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65E47">
              <w:rPr>
                <w:rFonts w:ascii="Arial" w:eastAsia="Calibri" w:hAnsi="Arial" w:cs="Arial"/>
                <w:color w:val="000000"/>
                <w:sz w:val="24"/>
                <w:szCs w:val="32"/>
              </w:rPr>
              <w:t>pertinence et de l'impact des activités de renforcement des</w:t>
            </w:r>
          </w:p>
          <w:p w:rsidR="00DD65BB" w:rsidRPr="002315EE" w:rsidRDefault="00265E47" w:rsidP="00265E4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65E47">
              <w:rPr>
                <w:rFonts w:ascii="Arial" w:eastAsia="Calibri" w:hAnsi="Arial" w:cs="Arial"/>
                <w:color w:val="000000"/>
                <w:sz w:val="24"/>
                <w:szCs w:val="32"/>
              </w:rPr>
              <w:t>capacités menées dans la Région AOC ;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B917E1" w:rsidTr="00B917E1">
        <w:trPr>
          <w:trHeight w:val="10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17E1" w:rsidRPr="009858F7" w:rsidRDefault="00B917E1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917E1" w:rsidRPr="00B917E1" w:rsidRDefault="00B917E1" w:rsidP="00B917E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B917E1">
              <w:rPr>
                <w:rFonts w:ascii="Arial" w:eastAsia="Calibri" w:hAnsi="Arial" w:cs="Arial"/>
                <w:color w:val="000000"/>
                <w:sz w:val="24"/>
                <w:szCs w:val="32"/>
              </w:rPr>
              <w:t>Finaliser les termes de référence révisés des Points de</w:t>
            </w:r>
          </w:p>
          <w:p w:rsidR="00B917E1" w:rsidRPr="00B917E1" w:rsidRDefault="00B917E1" w:rsidP="00B917E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B917E1">
              <w:rPr>
                <w:rFonts w:ascii="Arial" w:eastAsia="Calibri" w:hAnsi="Arial" w:cs="Arial"/>
                <w:color w:val="000000"/>
                <w:sz w:val="24"/>
                <w:szCs w:val="32"/>
              </w:rPr>
              <w:t>contact en vue de leur adoption à la prochaine réunion du</w:t>
            </w:r>
          </w:p>
          <w:p w:rsidR="00B917E1" w:rsidRPr="00265E47" w:rsidRDefault="00B917E1" w:rsidP="00B917E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B917E1">
              <w:rPr>
                <w:rFonts w:ascii="Arial" w:eastAsia="Calibri" w:hAnsi="Arial" w:cs="Arial"/>
                <w:color w:val="000000"/>
                <w:sz w:val="24"/>
                <w:szCs w:val="32"/>
              </w:rPr>
              <w:t>Comité des Experts ; (Nouvelle)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917E1" w:rsidRDefault="00B917E1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17E1" w:rsidRDefault="00B917E1" w:rsidP="00B81260"/>
        </w:tc>
      </w:tr>
      <w:tr w:rsidR="00DD65BB" w:rsidTr="002315EE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65ABF" w:rsidRPr="00E65ABF" w:rsidRDefault="00E65ABF" w:rsidP="00E65ABF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E65ABF">
              <w:rPr>
                <w:rFonts w:ascii="Arial" w:eastAsia="Calibri" w:hAnsi="Arial" w:cs="Arial"/>
                <w:color w:val="000000"/>
                <w:sz w:val="24"/>
                <w:szCs w:val="32"/>
              </w:rPr>
              <w:t>Mettre en place un Groupe de Travail Régional (GTR)</w:t>
            </w:r>
          </w:p>
          <w:p w:rsidR="00E65ABF" w:rsidRPr="00E65ABF" w:rsidRDefault="00E65ABF" w:rsidP="00E65ABF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E65ABF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constitué du BRRC, du GTR Informatique et des 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4 </w:t>
            </w:r>
            <w:r w:rsidRPr="00E65ABF">
              <w:rPr>
                <w:rFonts w:ascii="Arial" w:eastAsia="Calibri" w:hAnsi="Arial" w:cs="Arial"/>
                <w:color w:val="000000"/>
                <w:sz w:val="24"/>
                <w:szCs w:val="32"/>
              </w:rPr>
              <w:t>Administrations des douanes (Cameroun, de la Cote d’Ivoire</w:t>
            </w:r>
          </w:p>
          <w:p w:rsidR="00E65ABF" w:rsidRPr="00E65ABF" w:rsidRDefault="00E65ABF" w:rsidP="00E65ABF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E65ABF">
              <w:rPr>
                <w:rFonts w:ascii="Arial" w:eastAsia="Calibri" w:hAnsi="Arial" w:cs="Arial"/>
                <w:color w:val="000000"/>
                <w:sz w:val="24"/>
                <w:szCs w:val="32"/>
              </w:rPr>
              <w:t>et de la Gambie), chargé d’élaborer des indicateurs</w:t>
            </w:r>
          </w:p>
          <w:p w:rsidR="00E65ABF" w:rsidRPr="00E65ABF" w:rsidRDefault="00E65ABF" w:rsidP="00E65ABF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E65ABF">
              <w:rPr>
                <w:rFonts w:ascii="Arial" w:eastAsia="Calibri" w:hAnsi="Arial" w:cs="Arial"/>
                <w:color w:val="000000"/>
                <w:sz w:val="24"/>
                <w:szCs w:val="32"/>
              </w:rPr>
              <w:t>stratégiques notamment pour la confection des tableaux de</w:t>
            </w:r>
          </w:p>
          <w:p w:rsidR="00DD65BB" w:rsidRPr="002315EE" w:rsidRDefault="00E65ABF" w:rsidP="00E65ABF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E65ABF">
              <w:rPr>
                <w:rFonts w:ascii="Arial" w:eastAsia="Calibri" w:hAnsi="Arial" w:cs="Arial"/>
                <w:color w:val="000000"/>
                <w:sz w:val="24"/>
                <w:szCs w:val="32"/>
              </w:rPr>
              <w:t>bord ; (Nouvelle)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DD65BB" w:rsidTr="00467331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D65BB" w:rsidRPr="002315EE" w:rsidRDefault="009F4812" w:rsidP="002315E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9F4812">
              <w:rPr>
                <w:rFonts w:ascii="Arial" w:eastAsia="Calibri" w:hAnsi="Arial" w:cs="Arial"/>
                <w:color w:val="000000"/>
                <w:sz w:val="24"/>
                <w:szCs w:val="32"/>
              </w:rPr>
              <w:t>Organiser un atelier régional sur l’analyse des données ;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DD65BB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F4812" w:rsidRPr="009F4812" w:rsidRDefault="009F4812" w:rsidP="009F481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9F4812">
              <w:rPr>
                <w:rFonts w:ascii="Arial" w:eastAsia="Calibri" w:hAnsi="Arial" w:cs="Arial"/>
                <w:color w:val="000000"/>
                <w:sz w:val="24"/>
                <w:szCs w:val="32"/>
              </w:rPr>
              <w:t>Développer un programme de renforcement des capacités</w:t>
            </w:r>
          </w:p>
          <w:p w:rsidR="009F4812" w:rsidRPr="009F4812" w:rsidRDefault="009F4812" w:rsidP="009F481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9F4812">
              <w:rPr>
                <w:rFonts w:ascii="Arial" w:eastAsia="Calibri" w:hAnsi="Arial" w:cs="Arial"/>
                <w:color w:val="000000"/>
                <w:sz w:val="24"/>
                <w:szCs w:val="32"/>
              </w:rPr>
              <w:t>des administrations de douanes en matière gestion des</w:t>
            </w:r>
          </w:p>
          <w:p w:rsidR="00DD65BB" w:rsidRPr="00D05656" w:rsidRDefault="009F4812" w:rsidP="009F4812">
            <w:pPr>
              <w:spacing w:after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F4812">
              <w:rPr>
                <w:rFonts w:ascii="Arial" w:eastAsia="Calibri" w:hAnsi="Arial" w:cs="Arial"/>
                <w:color w:val="000000"/>
                <w:sz w:val="24"/>
                <w:szCs w:val="32"/>
              </w:rPr>
              <w:t>projets ; (Nouvelle)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9F4812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812" w:rsidRPr="009858F7" w:rsidRDefault="009F4812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F4812" w:rsidRPr="009F4812" w:rsidRDefault="009F4812" w:rsidP="009F481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9F4812">
              <w:rPr>
                <w:rFonts w:ascii="Arial" w:eastAsia="Calibri" w:hAnsi="Arial" w:cs="Arial"/>
                <w:color w:val="000000"/>
                <w:sz w:val="24"/>
                <w:szCs w:val="32"/>
              </w:rPr>
              <w:t>Mettre en place un outil d’évaluation des Points de contact ;</w:t>
            </w:r>
          </w:p>
          <w:p w:rsidR="009F4812" w:rsidRPr="009F4812" w:rsidRDefault="009F4812" w:rsidP="009F481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9F4812">
              <w:rPr>
                <w:rFonts w:ascii="Arial" w:eastAsia="Calibri" w:hAnsi="Arial" w:cs="Arial"/>
                <w:color w:val="000000"/>
                <w:sz w:val="24"/>
                <w:szCs w:val="32"/>
              </w:rPr>
              <w:t>(Nouvelle)</w:t>
            </w: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F4812" w:rsidRDefault="009F4812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F4812" w:rsidRDefault="009F4812" w:rsidP="00B81260"/>
        </w:tc>
      </w:tr>
      <w:tr w:rsidR="00F54ABE" w:rsidTr="0020710A">
        <w:trPr>
          <w:trHeight w:val="938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6890" w:rsidRPr="000D6890" w:rsidRDefault="000D6890" w:rsidP="000D6890">
            <w:pPr>
              <w:jc w:val="center"/>
              <w:rPr>
                <w:rFonts w:ascii="Arial" w:eastAsia="Calibri" w:hAnsi="Arial" w:cs="Arial"/>
                <w:b/>
                <w:color w:val="000000"/>
                <w:sz w:val="4"/>
                <w:szCs w:val="32"/>
              </w:rPr>
            </w:pPr>
          </w:p>
          <w:p w:rsidR="00F54ABE" w:rsidRDefault="000D6890" w:rsidP="000D6890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Aux CRF</w:t>
            </w:r>
          </w:p>
        </w:tc>
      </w:tr>
      <w:tr w:rsidR="00F54ABE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ABE" w:rsidRPr="009858F7" w:rsidRDefault="00F54ABE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54ABE" w:rsidRPr="009F4812" w:rsidRDefault="002D0C7C" w:rsidP="009F481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0C7C">
              <w:rPr>
                <w:rFonts w:ascii="Arial" w:eastAsia="Calibri" w:hAnsi="Arial" w:cs="Arial"/>
                <w:color w:val="000000"/>
                <w:sz w:val="24"/>
                <w:szCs w:val="32"/>
              </w:rPr>
              <w:t>d’élaborer leurs stratégiques de formation. (Nouvelle)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4ABE" w:rsidRDefault="00F54ABE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ABE" w:rsidRDefault="00F54ABE" w:rsidP="00B81260"/>
        </w:tc>
      </w:tr>
      <w:tr w:rsidR="00F54ABE" w:rsidTr="00E90A8C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4ABE" w:rsidRPr="009858F7" w:rsidRDefault="00F54ABE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D0C7C" w:rsidRPr="002D0C7C" w:rsidRDefault="002D0C7C" w:rsidP="002D0C7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>Effectuer un bench</w:t>
            </w:r>
            <w:r w:rsidRPr="002D0C7C">
              <w:rPr>
                <w:rFonts w:ascii="Arial" w:eastAsia="Calibri" w:hAnsi="Arial" w:cs="Arial"/>
                <w:color w:val="000000"/>
                <w:sz w:val="24"/>
                <w:szCs w:val="32"/>
              </w:rPr>
              <w:t>marking auprès des autres régions au</w:t>
            </w:r>
          </w:p>
          <w:p w:rsidR="002D0C7C" w:rsidRPr="002D0C7C" w:rsidRDefault="002D0C7C" w:rsidP="002D0C7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0C7C">
              <w:rPr>
                <w:rFonts w:ascii="Arial" w:eastAsia="Calibri" w:hAnsi="Arial" w:cs="Arial"/>
                <w:color w:val="000000"/>
                <w:sz w:val="24"/>
                <w:szCs w:val="32"/>
              </w:rPr>
              <w:t>sujet de la stratégie de redynamisation des centres</w:t>
            </w:r>
          </w:p>
          <w:p w:rsidR="00F54ABE" w:rsidRPr="009F4812" w:rsidRDefault="002D0C7C" w:rsidP="002D0C7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2D0C7C">
              <w:rPr>
                <w:rFonts w:ascii="Arial" w:eastAsia="Calibri" w:hAnsi="Arial" w:cs="Arial"/>
                <w:color w:val="000000"/>
                <w:sz w:val="24"/>
                <w:szCs w:val="32"/>
              </w:rPr>
              <w:t>régionaux de formation AOC.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4ABE" w:rsidRDefault="00F54ABE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ABE" w:rsidRDefault="00F54ABE" w:rsidP="00B81260"/>
        </w:tc>
      </w:tr>
      <w:tr w:rsidR="00DD65BB" w:rsidTr="009111CC">
        <w:trPr>
          <w:trHeight w:val="938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5BB" w:rsidRPr="00DD65BB" w:rsidRDefault="00DD65BB" w:rsidP="00DD65BB">
            <w:pPr>
              <w:jc w:val="center"/>
              <w:rPr>
                <w:rFonts w:ascii="Arial" w:eastAsia="Calibri" w:hAnsi="Arial" w:cs="Arial"/>
                <w:b/>
                <w:color w:val="000000"/>
                <w:sz w:val="6"/>
                <w:szCs w:val="32"/>
              </w:rPr>
            </w:pPr>
          </w:p>
          <w:p w:rsidR="00DD65BB" w:rsidRDefault="00DD65BB" w:rsidP="00DD65BB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Aux </w:t>
            </w:r>
            <w:r w:rsidRPr="00BB5973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Administrations des douanes membres de la Région AOC</w:t>
            </w:r>
          </w:p>
        </w:tc>
      </w:tr>
      <w:tr w:rsidR="00DD65BB" w:rsidTr="00C82F10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D65BB" w:rsidRPr="00DD65BB" w:rsidRDefault="00DD65BB" w:rsidP="00DD65BB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6E16F8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Poursuivre le partage d’expériences et de bonnes pratiques au sein de la région notamment dans le cadre du </w:t>
            </w:r>
            <w:r w:rsidR="00474FC7">
              <w:rPr>
                <w:rFonts w:ascii="Arial" w:eastAsia="Calibri" w:hAnsi="Arial" w:cs="Arial"/>
                <w:color w:val="000000"/>
                <w:sz w:val="24"/>
                <w:szCs w:val="32"/>
              </w:rPr>
              <w:t>Programme Régional de Coaching ;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5BB" w:rsidRDefault="00DD65BB" w:rsidP="00DD65B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DD65BB" w:rsidTr="0099447A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DD65BB" w:rsidRPr="00DD65BB" w:rsidRDefault="00DD65BB" w:rsidP="00DD65BB">
            <w:pPr>
              <w:pStyle w:val="Paragraphedeliste"/>
              <w:spacing w:after="0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6E16F8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Aux Administrations ayant rompu les contrats avec les sociétés d’inspection de poursuivre le partage d’expériences et de bonnes pratiques avec les autres Administrations de la Région </w:t>
            </w:r>
            <w:r w:rsidRPr="006E16F8">
              <w:rPr>
                <w:rFonts w:ascii="Arial" w:eastAsia="Calibri" w:hAnsi="Arial" w:cs="Arial"/>
                <w:color w:val="000000"/>
                <w:sz w:val="24"/>
                <w:szCs w:val="32"/>
              </w:rPr>
              <w:lastRenderedPageBreak/>
              <w:t>et de produire un rapport sur l’impact de cette réappropriation lors des</w:t>
            </w:r>
            <w:r w:rsidR="00D3596E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réunions des Points de Contact ;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DD65BB" w:rsidTr="005564AB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7" w:rsidRPr="00474FC7" w:rsidRDefault="00474FC7" w:rsidP="00D3596E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474FC7">
              <w:rPr>
                <w:rFonts w:ascii="Arial" w:eastAsia="Calibri" w:hAnsi="Arial" w:cs="Arial"/>
                <w:color w:val="000000"/>
                <w:sz w:val="24"/>
                <w:szCs w:val="32"/>
              </w:rPr>
              <w:t>Participer activement dans les délais aux questionnaires et</w:t>
            </w:r>
          </w:p>
          <w:p w:rsidR="00474FC7" w:rsidRPr="00474FC7" w:rsidRDefault="00474FC7" w:rsidP="00D3596E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474FC7">
              <w:rPr>
                <w:rFonts w:ascii="Arial" w:eastAsia="Calibri" w:hAnsi="Arial" w:cs="Arial"/>
                <w:color w:val="000000"/>
                <w:sz w:val="24"/>
                <w:szCs w:val="32"/>
              </w:rPr>
              <w:t>enquêtes provenant notamment de l’OMD et des structures</w:t>
            </w:r>
          </w:p>
          <w:p w:rsidR="00DD65BB" w:rsidRPr="00BB5973" w:rsidRDefault="00474FC7" w:rsidP="00474FC7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>régionales ; (Nouvelle)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DD65BB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474FC7" w:rsidRPr="00474FC7" w:rsidRDefault="00474FC7" w:rsidP="00474FC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474FC7">
              <w:rPr>
                <w:rFonts w:ascii="Arial" w:eastAsia="Calibri" w:hAnsi="Arial" w:cs="Arial"/>
                <w:color w:val="000000"/>
                <w:sz w:val="24"/>
                <w:szCs w:val="32"/>
              </w:rPr>
              <w:t>Renforcer leur capacités en matière de gestion des projets ;</w:t>
            </w:r>
          </w:p>
          <w:p w:rsidR="00DD65BB" w:rsidRPr="00BB5973" w:rsidRDefault="00474FC7" w:rsidP="00474FC7">
            <w:pPr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>(Nouvelle)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B81260"/>
        </w:tc>
      </w:tr>
      <w:tr w:rsidR="00D3596E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96E" w:rsidRPr="009858F7" w:rsidRDefault="00D3596E" w:rsidP="004D11E7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D3596E" w:rsidRPr="00D3596E" w:rsidRDefault="00D3596E" w:rsidP="00D3596E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D3596E">
              <w:rPr>
                <w:rFonts w:ascii="Arial" w:eastAsia="Calibri" w:hAnsi="Arial" w:cs="Arial"/>
                <w:color w:val="000000"/>
                <w:sz w:val="24"/>
                <w:szCs w:val="32"/>
              </w:rPr>
              <w:t>Elaborer une stratégie nationale de mise en œuvre de la</w:t>
            </w:r>
          </w:p>
          <w:p w:rsidR="00D3596E" w:rsidRPr="00474FC7" w:rsidRDefault="00D3596E" w:rsidP="00D3596E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>ZLECAf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; (Nouvelle)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3596E" w:rsidRDefault="00D3596E" w:rsidP="00B8126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3596E" w:rsidRDefault="00D3596E" w:rsidP="00B81260"/>
        </w:tc>
      </w:tr>
      <w:tr w:rsidR="00DD65BB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DD65BB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DD65BB" w:rsidRPr="006E16F8" w:rsidRDefault="00474FC7" w:rsidP="00474FC7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474FC7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Participer activement aux Comités Nationaux de Facilitation des Echanges ; (Nouvelle)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/>
        </w:tc>
      </w:tr>
      <w:tr w:rsidR="00DD65BB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DD65BB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DD65BB" w:rsidRPr="006E16F8" w:rsidRDefault="00474FC7" w:rsidP="00474FC7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474FC7">
              <w:rPr>
                <w:rFonts w:ascii="Arial" w:eastAsia="Calibri" w:hAnsi="Arial" w:cs="Arial"/>
                <w:color w:val="000000"/>
                <w:sz w:val="24"/>
                <w:szCs w:val="32"/>
              </w:rPr>
              <w:t>Développer et mettre en place une stratégie d’analyse des données conformément au Manuel de l’OMD sur l’analyse des données. (Nouvelle)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/>
        </w:tc>
      </w:tr>
      <w:tr w:rsidR="00DD65BB" w:rsidTr="00DD65BB">
        <w:trPr>
          <w:trHeight w:val="938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5BB" w:rsidRDefault="00DD65BB" w:rsidP="00DD65BB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 xml:space="preserve">Aux </w:t>
            </w:r>
            <w:r w:rsidRPr="006E16F8">
              <w:rPr>
                <w:rFonts w:ascii="Arial" w:eastAsia="Calibri" w:hAnsi="Arial" w:cs="Arial"/>
                <w:b/>
                <w:color w:val="000000"/>
                <w:sz w:val="24"/>
                <w:szCs w:val="32"/>
              </w:rPr>
              <w:t>Points de Contact</w:t>
            </w:r>
          </w:p>
        </w:tc>
      </w:tr>
      <w:tr w:rsidR="00DD65BB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DD65BB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DD65BB" w:rsidRPr="006E16F8" w:rsidRDefault="00DD65BB" w:rsidP="00DD65B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6E16F8">
              <w:rPr>
                <w:rFonts w:ascii="Arial" w:eastAsia="Calibri" w:hAnsi="Arial" w:cs="Arial"/>
                <w:color w:val="000000"/>
                <w:sz w:val="24"/>
                <w:szCs w:val="32"/>
              </w:rPr>
              <w:t>Informer dans les meilleurs délais le BRRC-AOC des Accords de collaboration conclus par leurs Administrations en mentionnant les pays partenaires et</w:t>
            </w:r>
            <w:r w:rsidR="00876C0E">
              <w:rPr>
                <w:rFonts w:ascii="Arial" w:eastAsia="Calibri" w:hAnsi="Arial" w:cs="Arial"/>
                <w:color w:val="000000"/>
                <w:sz w:val="24"/>
                <w:szCs w:val="32"/>
              </w:rPr>
              <w:t xml:space="preserve"> les domaines de collaboration ;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/>
        </w:tc>
      </w:tr>
      <w:tr w:rsidR="00DD65BB" w:rsidTr="00F234AE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Pr="009858F7" w:rsidRDefault="00DD65BB" w:rsidP="00DD65BB">
            <w:pPr>
              <w:pStyle w:val="Paragraphedeliste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876C0E" w:rsidRPr="00876C0E" w:rsidRDefault="00876C0E" w:rsidP="00876C0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876C0E">
              <w:rPr>
                <w:rFonts w:ascii="Arial" w:eastAsia="Calibri" w:hAnsi="Arial" w:cs="Arial"/>
                <w:color w:val="000000"/>
                <w:sz w:val="24"/>
                <w:szCs w:val="32"/>
              </w:rPr>
              <w:t>Elaborer et transmettre au Secrétariat de l’OMD et BBRCAOC un rapport de synthèse des activités de renforcement</w:t>
            </w:r>
          </w:p>
          <w:p w:rsidR="00876C0E" w:rsidRPr="00876C0E" w:rsidRDefault="00876C0E" w:rsidP="00876C0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876C0E">
              <w:rPr>
                <w:rFonts w:ascii="Arial" w:eastAsia="Calibri" w:hAnsi="Arial" w:cs="Arial"/>
                <w:color w:val="000000"/>
                <w:sz w:val="24"/>
                <w:szCs w:val="32"/>
              </w:rPr>
              <w:t>des capacités au plus tard fin novembre de chaque année,</w:t>
            </w:r>
          </w:p>
          <w:p w:rsidR="00876C0E" w:rsidRPr="00876C0E" w:rsidRDefault="00876C0E" w:rsidP="00876C0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 w:rsidRPr="00876C0E">
              <w:rPr>
                <w:rFonts w:ascii="Arial" w:eastAsia="Calibri" w:hAnsi="Arial" w:cs="Arial"/>
                <w:color w:val="000000"/>
                <w:sz w:val="24"/>
                <w:szCs w:val="32"/>
              </w:rPr>
              <w:t>en vue de l’élaboration du rapport annuel d’activités de</w:t>
            </w:r>
          </w:p>
          <w:p w:rsidR="00DD65BB" w:rsidRPr="006E16F8" w:rsidRDefault="00876C0E" w:rsidP="00876C0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32"/>
              </w:rPr>
              <w:lastRenderedPageBreak/>
              <w:t>l’OMD. (Nouvelle)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65BB" w:rsidRDefault="00DD65BB" w:rsidP="00DD65BB"/>
        </w:tc>
      </w:tr>
    </w:tbl>
    <w:p w:rsidR="00FE0940" w:rsidRDefault="00FE0940" w:rsidP="001A5CDB">
      <w:pPr>
        <w:spacing w:after="0"/>
      </w:pPr>
    </w:p>
    <w:sectPr w:rsidR="00FE0940" w:rsidSect="00080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A4605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1556"/>
    <w:multiLevelType w:val="hybridMultilevel"/>
    <w:tmpl w:val="62C22BB0"/>
    <w:lvl w:ilvl="0" w:tplc="C18EE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250BD"/>
    <w:multiLevelType w:val="hybridMultilevel"/>
    <w:tmpl w:val="3A14891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9626B2"/>
    <w:multiLevelType w:val="hybridMultilevel"/>
    <w:tmpl w:val="25684DA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568"/>
    <w:multiLevelType w:val="hybridMultilevel"/>
    <w:tmpl w:val="4D94885C"/>
    <w:lvl w:ilvl="0" w:tplc="8588252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E5A7B09"/>
    <w:multiLevelType w:val="hybridMultilevel"/>
    <w:tmpl w:val="C9B4A294"/>
    <w:lvl w:ilvl="0" w:tplc="B052BDF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36D28B8"/>
    <w:multiLevelType w:val="hybridMultilevel"/>
    <w:tmpl w:val="7F0216C6"/>
    <w:lvl w:ilvl="0" w:tplc="E6585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455"/>
    <w:multiLevelType w:val="hybridMultilevel"/>
    <w:tmpl w:val="299C9F6A"/>
    <w:lvl w:ilvl="0" w:tplc="76B44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74E0"/>
    <w:multiLevelType w:val="hybridMultilevel"/>
    <w:tmpl w:val="275EA990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4C1E"/>
    <w:multiLevelType w:val="hybridMultilevel"/>
    <w:tmpl w:val="8A6843C0"/>
    <w:lvl w:ilvl="0" w:tplc="E9309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F5C02"/>
    <w:multiLevelType w:val="hybridMultilevel"/>
    <w:tmpl w:val="EECA3EA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0D6A7F"/>
    <w:multiLevelType w:val="hybridMultilevel"/>
    <w:tmpl w:val="5BD46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F6196"/>
    <w:multiLevelType w:val="hybridMultilevel"/>
    <w:tmpl w:val="25684DA6"/>
    <w:lvl w:ilvl="0" w:tplc="040C000F">
      <w:start w:val="1"/>
      <w:numFmt w:val="decimal"/>
      <w:lvlText w:val="%1."/>
      <w:lvlJc w:val="left"/>
      <w:pPr>
        <w:ind w:left="-218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E031509"/>
    <w:multiLevelType w:val="hybridMultilevel"/>
    <w:tmpl w:val="38AC94D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C3AE8"/>
    <w:multiLevelType w:val="hybridMultilevel"/>
    <w:tmpl w:val="19147E7C"/>
    <w:lvl w:ilvl="0" w:tplc="040C000F">
      <w:start w:val="1"/>
      <w:numFmt w:val="decimal"/>
      <w:lvlText w:val="%1."/>
      <w:lvlJc w:val="left"/>
      <w:pPr>
        <w:ind w:left="142" w:hanging="360"/>
      </w:pPr>
    </w:lvl>
    <w:lvl w:ilvl="1" w:tplc="040C0019" w:tentative="1">
      <w:start w:val="1"/>
      <w:numFmt w:val="lowerLetter"/>
      <w:lvlText w:val="%2."/>
      <w:lvlJc w:val="left"/>
      <w:pPr>
        <w:ind w:left="862" w:hanging="360"/>
      </w:pPr>
    </w:lvl>
    <w:lvl w:ilvl="2" w:tplc="040C001B" w:tentative="1">
      <w:start w:val="1"/>
      <w:numFmt w:val="lowerRoman"/>
      <w:lvlText w:val="%3."/>
      <w:lvlJc w:val="right"/>
      <w:pPr>
        <w:ind w:left="1582" w:hanging="180"/>
      </w:pPr>
    </w:lvl>
    <w:lvl w:ilvl="3" w:tplc="040C000F" w:tentative="1">
      <w:start w:val="1"/>
      <w:numFmt w:val="decimal"/>
      <w:lvlText w:val="%4."/>
      <w:lvlJc w:val="left"/>
      <w:pPr>
        <w:ind w:left="2302" w:hanging="360"/>
      </w:pPr>
    </w:lvl>
    <w:lvl w:ilvl="4" w:tplc="040C0019" w:tentative="1">
      <w:start w:val="1"/>
      <w:numFmt w:val="lowerLetter"/>
      <w:lvlText w:val="%5."/>
      <w:lvlJc w:val="left"/>
      <w:pPr>
        <w:ind w:left="3022" w:hanging="360"/>
      </w:pPr>
    </w:lvl>
    <w:lvl w:ilvl="5" w:tplc="040C001B" w:tentative="1">
      <w:start w:val="1"/>
      <w:numFmt w:val="lowerRoman"/>
      <w:lvlText w:val="%6."/>
      <w:lvlJc w:val="right"/>
      <w:pPr>
        <w:ind w:left="3742" w:hanging="180"/>
      </w:pPr>
    </w:lvl>
    <w:lvl w:ilvl="6" w:tplc="040C000F" w:tentative="1">
      <w:start w:val="1"/>
      <w:numFmt w:val="decimal"/>
      <w:lvlText w:val="%7."/>
      <w:lvlJc w:val="left"/>
      <w:pPr>
        <w:ind w:left="4462" w:hanging="360"/>
      </w:pPr>
    </w:lvl>
    <w:lvl w:ilvl="7" w:tplc="040C0019" w:tentative="1">
      <w:start w:val="1"/>
      <w:numFmt w:val="lowerLetter"/>
      <w:lvlText w:val="%8."/>
      <w:lvlJc w:val="left"/>
      <w:pPr>
        <w:ind w:left="5182" w:hanging="360"/>
      </w:pPr>
    </w:lvl>
    <w:lvl w:ilvl="8" w:tplc="040C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8"/>
    <w:rsid w:val="00007470"/>
    <w:rsid w:val="00011A17"/>
    <w:rsid w:val="0002026D"/>
    <w:rsid w:val="00025EDA"/>
    <w:rsid w:val="00026C18"/>
    <w:rsid w:val="0004657A"/>
    <w:rsid w:val="00054336"/>
    <w:rsid w:val="00056361"/>
    <w:rsid w:val="00073BCE"/>
    <w:rsid w:val="00075C09"/>
    <w:rsid w:val="00080058"/>
    <w:rsid w:val="0008523E"/>
    <w:rsid w:val="000973EA"/>
    <w:rsid w:val="00097A1A"/>
    <w:rsid w:val="000A0223"/>
    <w:rsid w:val="000B30DC"/>
    <w:rsid w:val="000C07C7"/>
    <w:rsid w:val="000C518E"/>
    <w:rsid w:val="000D6890"/>
    <w:rsid w:val="000E6A88"/>
    <w:rsid w:val="000F6B1B"/>
    <w:rsid w:val="000F7C4C"/>
    <w:rsid w:val="0010244C"/>
    <w:rsid w:val="00102E87"/>
    <w:rsid w:val="00113A8C"/>
    <w:rsid w:val="00114DF0"/>
    <w:rsid w:val="00114F30"/>
    <w:rsid w:val="0011649B"/>
    <w:rsid w:val="001223FD"/>
    <w:rsid w:val="00146899"/>
    <w:rsid w:val="0014701F"/>
    <w:rsid w:val="0016094D"/>
    <w:rsid w:val="00160DEF"/>
    <w:rsid w:val="00162193"/>
    <w:rsid w:val="001648AB"/>
    <w:rsid w:val="00174E81"/>
    <w:rsid w:val="00177E11"/>
    <w:rsid w:val="00180AB9"/>
    <w:rsid w:val="001872C7"/>
    <w:rsid w:val="00193A25"/>
    <w:rsid w:val="001A5CDB"/>
    <w:rsid w:val="001B5119"/>
    <w:rsid w:val="001D5071"/>
    <w:rsid w:val="001F0638"/>
    <w:rsid w:val="001F1FF6"/>
    <w:rsid w:val="00212AA2"/>
    <w:rsid w:val="00213624"/>
    <w:rsid w:val="002315EE"/>
    <w:rsid w:val="00235EC8"/>
    <w:rsid w:val="00241108"/>
    <w:rsid w:val="00243A17"/>
    <w:rsid w:val="00253B7C"/>
    <w:rsid w:val="00255DF6"/>
    <w:rsid w:val="00265C2F"/>
    <w:rsid w:val="00265E47"/>
    <w:rsid w:val="0026630F"/>
    <w:rsid w:val="002706CD"/>
    <w:rsid w:val="00291CEF"/>
    <w:rsid w:val="002A0657"/>
    <w:rsid w:val="002A149A"/>
    <w:rsid w:val="002B3C77"/>
    <w:rsid w:val="002B4DCB"/>
    <w:rsid w:val="002B5D93"/>
    <w:rsid w:val="002B6F6B"/>
    <w:rsid w:val="002C32E9"/>
    <w:rsid w:val="002C6706"/>
    <w:rsid w:val="002D0C7C"/>
    <w:rsid w:val="002E1746"/>
    <w:rsid w:val="002E184B"/>
    <w:rsid w:val="003019F2"/>
    <w:rsid w:val="00311556"/>
    <w:rsid w:val="00314BB6"/>
    <w:rsid w:val="0031670A"/>
    <w:rsid w:val="003333C3"/>
    <w:rsid w:val="003373E7"/>
    <w:rsid w:val="003548FE"/>
    <w:rsid w:val="0036410E"/>
    <w:rsid w:val="00381F26"/>
    <w:rsid w:val="00385FED"/>
    <w:rsid w:val="003924C2"/>
    <w:rsid w:val="003A176F"/>
    <w:rsid w:val="003D1D95"/>
    <w:rsid w:val="003D44EF"/>
    <w:rsid w:val="003E0CB0"/>
    <w:rsid w:val="003E2E52"/>
    <w:rsid w:val="003E5200"/>
    <w:rsid w:val="003F6F64"/>
    <w:rsid w:val="00402CCA"/>
    <w:rsid w:val="004052C8"/>
    <w:rsid w:val="00410A0F"/>
    <w:rsid w:val="00415CD4"/>
    <w:rsid w:val="00423024"/>
    <w:rsid w:val="00446988"/>
    <w:rsid w:val="00446C7C"/>
    <w:rsid w:val="00450B56"/>
    <w:rsid w:val="004724E8"/>
    <w:rsid w:val="00474FC7"/>
    <w:rsid w:val="0047640B"/>
    <w:rsid w:val="00490235"/>
    <w:rsid w:val="004913C7"/>
    <w:rsid w:val="00491D91"/>
    <w:rsid w:val="004A0761"/>
    <w:rsid w:val="004B22BE"/>
    <w:rsid w:val="004B38EB"/>
    <w:rsid w:val="004B615B"/>
    <w:rsid w:val="004C06E9"/>
    <w:rsid w:val="004D11E7"/>
    <w:rsid w:val="004D20B5"/>
    <w:rsid w:val="004D2163"/>
    <w:rsid w:val="004E1155"/>
    <w:rsid w:val="004F365F"/>
    <w:rsid w:val="00502962"/>
    <w:rsid w:val="005129DE"/>
    <w:rsid w:val="005238D6"/>
    <w:rsid w:val="0052755A"/>
    <w:rsid w:val="00530C47"/>
    <w:rsid w:val="00534B6F"/>
    <w:rsid w:val="00536DEA"/>
    <w:rsid w:val="005618E1"/>
    <w:rsid w:val="005637D8"/>
    <w:rsid w:val="00571793"/>
    <w:rsid w:val="005725AB"/>
    <w:rsid w:val="0058755E"/>
    <w:rsid w:val="00593D59"/>
    <w:rsid w:val="0059587B"/>
    <w:rsid w:val="00596CAA"/>
    <w:rsid w:val="005A519E"/>
    <w:rsid w:val="005B38FD"/>
    <w:rsid w:val="005D46D2"/>
    <w:rsid w:val="005F42EC"/>
    <w:rsid w:val="005F7D31"/>
    <w:rsid w:val="00604440"/>
    <w:rsid w:val="006045A2"/>
    <w:rsid w:val="00605BB7"/>
    <w:rsid w:val="0061543D"/>
    <w:rsid w:val="006177F0"/>
    <w:rsid w:val="006246B6"/>
    <w:rsid w:val="00624D7F"/>
    <w:rsid w:val="00626811"/>
    <w:rsid w:val="006476E7"/>
    <w:rsid w:val="00650016"/>
    <w:rsid w:val="006508AC"/>
    <w:rsid w:val="00660276"/>
    <w:rsid w:val="006668EF"/>
    <w:rsid w:val="00672F89"/>
    <w:rsid w:val="006731A0"/>
    <w:rsid w:val="00685F04"/>
    <w:rsid w:val="00686498"/>
    <w:rsid w:val="00693BD4"/>
    <w:rsid w:val="006C0FD3"/>
    <w:rsid w:val="006D3358"/>
    <w:rsid w:val="006E16F8"/>
    <w:rsid w:val="006E4BD0"/>
    <w:rsid w:val="006F4144"/>
    <w:rsid w:val="006F5088"/>
    <w:rsid w:val="00703137"/>
    <w:rsid w:val="00721B2D"/>
    <w:rsid w:val="00723230"/>
    <w:rsid w:val="00723927"/>
    <w:rsid w:val="00731674"/>
    <w:rsid w:val="00732177"/>
    <w:rsid w:val="00747BF3"/>
    <w:rsid w:val="00764D87"/>
    <w:rsid w:val="00766E51"/>
    <w:rsid w:val="00772BE1"/>
    <w:rsid w:val="00774A73"/>
    <w:rsid w:val="00794B18"/>
    <w:rsid w:val="007950BF"/>
    <w:rsid w:val="007966B4"/>
    <w:rsid w:val="007A2947"/>
    <w:rsid w:val="007A62EA"/>
    <w:rsid w:val="007A6845"/>
    <w:rsid w:val="007B77C4"/>
    <w:rsid w:val="007D4E26"/>
    <w:rsid w:val="007D5F9E"/>
    <w:rsid w:val="007F0810"/>
    <w:rsid w:val="007F6052"/>
    <w:rsid w:val="00810C0A"/>
    <w:rsid w:val="008216C5"/>
    <w:rsid w:val="00824C72"/>
    <w:rsid w:val="00827E81"/>
    <w:rsid w:val="00832D3E"/>
    <w:rsid w:val="008421B7"/>
    <w:rsid w:val="00844C76"/>
    <w:rsid w:val="008471AD"/>
    <w:rsid w:val="00851174"/>
    <w:rsid w:val="0087286F"/>
    <w:rsid w:val="00876C0E"/>
    <w:rsid w:val="0088439C"/>
    <w:rsid w:val="00895F04"/>
    <w:rsid w:val="008961D7"/>
    <w:rsid w:val="00897EDB"/>
    <w:rsid w:val="008A0EC6"/>
    <w:rsid w:val="008A129A"/>
    <w:rsid w:val="008B16A1"/>
    <w:rsid w:val="008C4130"/>
    <w:rsid w:val="008C632E"/>
    <w:rsid w:val="008D1EFD"/>
    <w:rsid w:val="008D39B4"/>
    <w:rsid w:val="008D4C2E"/>
    <w:rsid w:val="008E1579"/>
    <w:rsid w:val="008E3713"/>
    <w:rsid w:val="008F3B21"/>
    <w:rsid w:val="00906C56"/>
    <w:rsid w:val="00907F82"/>
    <w:rsid w:val="00917F50"/>
    <w:rsid w:val="00924296"/>
    <w:rsid w:val="00924643"/>
    <w:rsid w:val="00930ACA"/>
    <w:rsid w:val="009378D0"/>
    <w:rsid w:val="00940DAF"/>
    <w:rsid w:val="00943507"/>
    <w:rsid w:val="00944B8A"/>
    <w:rsid w:val="00950741"/>
    <w:rsid w:val="00960AC0"/>
    <w:rsid w:val="00960CD4"/>
    <w:rsid w:val="00963398"/>
    <w:rsid w:val="00970693"/>
    <w:rsid w:val="00975846"/>
    <w:rsid w:val="00975FFE"/>
    <w:rsid w:val="009767B1"/>
    <w:rsid w:val="00977013"/>
    <w:rsid w:val="009854FB"/>
    <w:rsid w:val="009921CE"/>
    <w:rsid w:val="00994EB2"/>
    <w:rsid w:val="00996822"/>
    <w:rsid w:val="009B37D2"/>
    <w:rsid w:val="009B4F23"/>
    <w:rsid w:val="009C54FF"/>
    <w:rsid w:val="009D51AB"/>
    <w:rsid w:val="009D59EE"/>
    <w:rsid w:val="009E1D9B"/>
    <w:rsid w:val="009F08AF"/>
    <w:rsid w:val="009F3F5B"/>
    <w:rsid w:val="009F4812"/>
    <w:rsid w:val="009F65B7"/>
    <w:rsid w:val="00A07604"/>
    <w:rsid w:val="00A13BFC"/>
    <w:rsid w:val="00A245FB"/>
    <w:rsid w:val="00A3538D"/>
    <w:rsid w:val="00A41267"/>
    <w:rsid w:val="00A461DB"/>
    <w:rsid w:val="00A54858"/>
    <w:rsid w:val="00A60553"/>
    <w:rsid w:val="00A6292E"/>
    <w:rsid w:val="00A6726F"/>
    <w:rsid w:val="00A7392F"/>
    <w:rsid w:val="00A779D1"/>
    <w:rsid w:val="00A84A74"/>
    <w:rsid w:val="00A8751D"/>
    <w:rsid w:val="00AA2BA2"/>
    <w:rsid w:val="00AA3C12"/>
    <w:rsid w:val="00AA40DC"/>
    <w:rsid w:val="00AA5BB3"/>
    <w:rsid w:val="00AB17C6"/>
    <w:rsid w:val="00AB206D"/>
    <w:rsid w:val="00AB53A5"/>
    <w:rsid w:val="00AB6D5C"/>
    <w:rsid w:val="00AE0B29"/>
    <w:rsid w:val="00AF0D5D"/>
    <w:rsid w:val="00AF3583"/>
    <w:rsid w:val="00AF5F35"/>
    <w:rsid w:val="00B04D15"/>
    <w:rsid w:val="00B15710"/>
    <w:rsid w:val="00B25B9A"/>
    <w:rsid w:val="00B451A7"/>
    <w:rsid w:val="00B47CEF"/>
    <w:rsid w:val="00B50974"/>
    <w:rsid w:val="00B5625E"/>
    <w:rsid w:val="00B579EB"/>
    <w:rsid w:val="00B6146B"/>
    <w:rsid w:val="00B621A2"/>
    <w:rsid w:val="00B66C3D"/>
    <w:rsid w:val="00B917E1"/>
    <w:rsid w:val="00B957B6"/>
    <w:rsid w:val="00BA5F42"/>
    <w:rsid w:val="00BA71DD"/>
    <w:rsid w:val="00BA7590"/>
    <w:rsid w:val="00BB5973"/>
    <w:rsid w:val="00BC2E38"/>
    <w:rsid w:val="00BD12B9"/>
    <w:rsid w:val="00BD1CD5"/>
    <w:rsid w:val="00BD256B"/>
    <w:rsid w:val="00BD266E"/>
    <w:rsid w:val="00BD32AA"/>
    <w:rsid w:val="00BF3847"/>
    <w:rsid w:val="00C033A8"/>
    <w:rsid w:val="00C04496"/>
    <w:rsid w:val="00C0510A"/>
    <w:rsid w:val="00C14BBB"/>
    <w:rsid w:val="00C14FAF"/>
    <w:rsid w:val="00C17DC4"/>
    <w:rsid w:val="00C20E40"/>
    <w:rsid w:val="00C34125"/>
    <w:rsid w:val="00C36F42"/>
    <w:rsid w:val="00C40FAC"/>
    <w:rsid w:val="00C46922"/>
    <w:rsid w:val="00C50E98"/>
    <w:rsid w:val="00C66888"/>
    <w:rsid w:val="00C7094A"/>
    <w:rsid w:val="00C751A3"/>
    <w:rsid w:val="00C936F8"/>
    <w:rsid w:val="00C97E97"/>
    <w:rsid w:val="00CA50B8"/>
    <w:rsid w:val="00CA5D56"/>
    <w:rsid w:val="00CA6BDA"/>
    <w:rsid w:val="00CB08EB"/>
    <w:rsid w:val="00CB4F7E"/>
    <w:rsid w:val="00CB727B"/>
    <w:rsid w:val="00CD5A0B"/>
    <w:rsid w:val="00CF4E77"/>
    <w:rsid w:val="00CF7997"/>
    <w:rsid w:val="00D010EE"/>
    <w:rsid w:val="00D12266"/>
    <w:rsid w:val="00D17AF5"/>
    <w:rsid w:val="00D25AD2"/>
    <w:rsid w:val="00D338E1"/>
    <w:rsid w:val="00D33E8A"/>
    <w:rsid w:val="00D3596E"/>
    <w:rsid w:val="00D434AC"/>
    <w:rsid w:val="00D57CE9"/>
    <w:rsid w:val="00D62115"/>
    <w:rsid w:val="00D623A8"/>
    <w:rsid w:val="00D661E9"/>
    <w:rsid w:val="00D76971"/>
    <w:rsid w:val="00D81223"/>
    <w:rsid w:val="00D83947"/>
    <w:rsid w:val="00D91F40"/>
    <w:rsid w:val="00DA0774"/>
    <w:rsid w:val="00DA3E0A"/>
    <w:rsid w:val="00DB098C"/>
    <w:rsid w:val="00DD65BB"/>
    <w:rsid w:val="00DE694C"/>
    <w:rsid w:val="00DE7DC1"/>
    <w:rsid w:val="00DF1957"/>
    <w:rsid w:val="00E00F66"/>
    <w:rsid w:val="00E07681"/>
    <w:rsid w:val="00E125EE"/>
    <w:rsid w:val="00E32445"/>
    <w:rsid w:val="00E5614C"/>
    <w:rsid w:val="00E62935"/>
    <w:rsid w:val="00E62A21"/>
    <w:rsid w:val="00E65ABF"/>
    <w:rsid w:val="00E707AC"/>
    <w:rsid w:val="00E840BE"/>
    <w:rsid w:val="00E967CD"/>
    <w:rsid w:val="00EA29DB"/>
    <w:rsid w:val="00EC526A"/>
    <w:rsid w:val="00EC5A36"/>
    <w:rsid w:val="00ED3C10"/>
    <w:rsid w:val="00EE35DD"/>
    <w:rsid w:val="00EE74C7"/>
    <w:rsid w:val="00EF27B3"/>
    <w:rsid w:val="00EF352E"/>
    <w:rsid w:val="00F12309"/>
    <w:rsid w:val="00F25055"/>
    <w:rsid w:val="00F25FF4"/>
    <w:rsid w:val="00F341D8"/>
    <w:rsid w:val="00F360B3"/>
    <w:rsid w:val="00F3612A"/>
    <w:rsid w:val="00F406AE"/>
    <w:rsid w:val="00F50DA4"/>
    <w:rsid w:val="00F54ABE"/>
    <w:rsid w:val="00F573D6"/>
    <w:rsid w:val="00F57C81"/>
    <w:rsid w:val="00F64BF0"/>
    <w:rsid w:val="00F6562E"/>
    <w:rsid w:val="00F7256F"/>
    <w:rsid w:val="00F86CBF"/>
    <w:rsid w:val="00F91D73"/>
    <w:rsid w:val="00F95E99"/>
    <w:rsid w:val="00F97361"/>
    <w:rsid w:val="00FA2ED6"/>
    <w:rsid w:val="00FB2C90"/>
    <w:rsid w:val="00FB6E89"/>
    <w:rsid w:val="00FC0F54"/>
    <w:rsid w:val="00FC36AF"/>
    <w:rsid w:val="00FC6CED"/>
    <w:rsid w:val="00FE0940"/>
    <w:rsid w:val="00FE0E9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881B-0B27-4596-A121-07C85F5D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9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2"/>
    <w:qFormat/>
    <w:rsid w:val="00FE0E98"/>
    <w:pPr>
      <w:numPr>
        <w:numId w:val="1"/>
      </w:numPr>
      <w:spacing w:after="240" w:line="264" w:lineRule="auto"/>
    </w:pPr>
    <w:rPr>
      <w:rFonts w:ascii="Times New Roman" w:eastAsia="SimSun" w:hAnsi="Times New Roman" w:cs="Times New Roman"/>
      <w:sz w:val="24"/>
      <w:szCs w:val="20"/>
    </w:rPr>
  </w:style>
  <w:style w:type="paragraph" w:styleId="Paragraphedeliste">
    <w:name w:val="List Paragraph"/>
    <w:aliases w:val="Colorful List Accent 1,List Bulet,AB List 1,Bullet Points,List Paragraph1,ProcessA,Liste couleur - Accent 14"/>
    <w:basedOn w:val="Normal"/>
    <w:link w:val="ParagraphedelisteCar"/>
    <w:uiPriority w:val="34"/>
    <w:qFormat/>
    <w:rsid w:val="008471A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FE0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E094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aragraphedelisteCar">
    <w:name w:val="Paragraphe de liste Car"/>
    <w:aliases w:val="Colorful List Accent 1 Car,List Bulet Car,AB List 1 Car,Bullet Points Car,List Paragraph1 Car,ProcessA Car,Liste couleur - Accent 14 Car"/>
    <w:link w:val="Paragraphedeliste"/>
    <w:uiPriority w:val="34"/>
    <w:locked/>
    <w:rsid w:val="009F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TSEKE GOMEZ</dc:creator>
  <cp:keywords/>
  <dc:description/>
  <cp:lastModifiedBy>PROBOOK</cp:lastModifiedBy>
  <cp:revision>50</cp:revision>
  <dcterms:created xsi:type="dcterms:W3CDTF">2019-07-16T11:44:00Z</dcterms:created>
  <dcterms:modified xsi:type="dcterms:W3CDTF">2020-11-24T09:52:00Z</dcterms:modified>
</cp:coreProperties>
</file>